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FF" w:rsidRPr="00454F5B" w:rsidRDefault="00FB50FF" w:rsidP="00454F5B">
      <w:pPr>
        <w:ind w:left="709"/>
        <w:jc w:val="center"/>
        <w:rPr>
          <w:b/>
          <w:sz w:val="28"/>
          <w:szCs w:val="28"/>
          <w:lang w:val="tr-TR"/>
        </w:rPr>
      </w:pPr>
      <w:r w:rsidRPr="00454F5B">
        <w:rPr>
          <w:b/>
          <w:sz w:val="28"/>
          <w:szCs w:val="28"/>
          <w:lang w:val="tr-TR"/>
        </w:rPr>
        <w:t xml:space="preserve">Personel hareketliliğine ilişkin </w:t>
      </w:r>
      <w:r w:rsidR="00454F5B" w:rsidRPr="00454F5B">
        <w:rPr>
          <w:b/>
          <w:sz w:val="28"/>
          <w:szCs w:val="28"/>
          <w:lang w:val="tr-TR"/>
        </w:rPr>
        <w:t xml:space="preserve">güncel </w:t>
      </w:r>
      <w:r w:rsidRPr="00454F5B">
        <w:rPr>
          <w:b/>
          <w:sz w:val="28"/>
          <w:szCs w:val="28"/>
          <w:lang w:val="tr-TR"/>
        </w:rPr>
        <w:t>hibeler aşağıdaki gibidir:</w:t>
      </w:r>
    </w:p>
    <w:p w:rsidR="00454F5B" w:rsidRDefault="00454F5B" w:rsidP="00FB50FF">
      <w:pPr>
        <w:rPr>
          <w:b/>
          <w:lang w:val="tr-TR"/>
        </w:rPr>
      </w:pPr>
    </w:p>
    <w:p w:rsidR="00454F5B" w:rsidRDefault="0061258D" w:rsidP="00454F5B">
      <w:pPr>
        <w:pStyle w:val="ListeParagraf"/>
        <w:shd w:val="clear" w:color="auto" w:fill="FFFFFF"/>
        <w:spacing w:line="288" w:lineRule="auto"/>
        <w:jc w:val="both"/>
        <w:rPr>
          <w:b/>
          <w:lang w:val="tr-TR"/>
        </w:rPr>
      </w:pPr>
      <w:r w:rsidRPr="00043310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>Faaliyet</w:t>
      </w:r>
      <w:r w:rsidR="00454F5B" w:rsidRPr="00043310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 xml:space="preserve"> için toplamda</w:t>
      </w:r>
      <w:r w:rsidR="00454F5B" w:rsidRPr="006D193E">
        <w:rPr>
          <w:rFonts w:asciiTheme="minorHAnsi" w:eastAsia="Times New Roman" w:hAnsiTheme="minorHAnsi" w:cs="Arial"/>
          <w:b/>
          <w:color w:val="222222"/>
          <w:bdr w:val="none" w:sz="0" w:space="0" w:color="auto" w:frame="1"/>
          <w:lang w:val="tr-TR" w:eastAsia="tr-TR"/>
        </w:rPr>
        <w:t xml:space="preserve"> dört günlük hibe </w:t>
      </w:r>
      <w:r w:rsidR="00454F5B" w:rsidRPr="00043310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 xml:space="preserve">ile </w:t>
      </w:r>
      <w:r w:rsidR="00454F5B" w:rsidRPr="006D193E">
        <w:rPr>
          <w:rFonts w:asciiTheme="minorHAnsi" w:eastAsia="Times New Roman" w:hAnsiTheme="minorHAnsi" w:cs="Arial"/>
          <w:b/>
          <w:color w:val="222222"/>
          <w:bdr w:val="none" w:sz="0" w:space="0" w:color="auto" w:frame="1"/>
          <w:lang w:val="tr-TR" w:eastAsia="tr-TR"/>
        </w:rPr>
        <w:t xml:space="preserve">seyahat gideri </w:t>
      </w:r>
      <w:r w:rsidR="00454F5B" w:rsidRPr="00043310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>öden</w:t>
      </w:r>
      <w:r w:rsidRPr="00043310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>mektedir</w:t>
      </w:r>
      <w:r w:rsidR="00454F5B" w:rsidRPr="00043310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>.</w:t>
      </w:r>
      <w:r w:rsidR="00454F5B" w:rsidRPr="006D193E">
        <w:rPr>
          <w:rFonts w:asciiTheme="minorHAnsi" w:eastAsia="Times New Roman" w:hAnsiTheme="minorHAnsi" w:cs="Arial"/>
          <w:b/>
          <w:color w:val="222222"/>
          <w:bdr w:val="none" w:sz="0" w:space="0" w:color="auto" w:frame="1"/>
          <w:lang w:val="tr-TR" w:eastAsia="tr-TR"/>
        </w:rPr>
        <w:t xml:space="preserve"> Bunların dışında ayrıca uçak, otobüs bileti </w:t>
      </w:r>
      <w:r w:rsidR="000A39B0">
        <w:rPr>
          <w:rFonts w:asciiTheme="minorHAnsi" w:eastAsia="Times New Roman" w:hAnsiTheme="minorHAnsi" w:cs="Arial"/>
          <w:b/>
          <w:color w:val="222222"/>
          <w:bdr w:val="none" w:sz="0" w:space="0" w:color="auto" w:frame="1"/>
          <w:lang w:val="tr-TR" w:eastAsia="tr-TR"/>
        </w:rPr>
        <w:t>için</w:t>
      </w:r>
      <w:r w:rsidR="00454F5B" w:rsidRPr="006D193E">
        <w:rPr>
          <w:rFonts w:asciiTheme="minorHAnsi" w:eastAsia="Times New Roman" w:hAnsiTheme="minorHAnsi" w:cs="Arial"/>
          <w:b/>
          <w:color w:val="222222"/>
          <w:bdr w:val="none" w:sz="0" w:space="0" w:color="auto" w:frame="1"/>
          <w:lang w:val="tr-TR" w:eastAsia="tr-TR"/>
        </w:rPr>
        <w:t xml:space="preserve"> bir ödeme yapılmamaktadır.</w:t>
      </w:r>
      <w:r w:rsidR="00454F5B" w:rsidRPr="00E52C38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 xml:space="preserve">  Gitmeden günlük hibenin %80’i ile seyahat giderini</w:t>
      </w:r>
      <w:r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>n</w:t>
      </w:r>
      <w:r w:rsidR="00454F5B" w:rsidRPr="00E52C38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 xml:space="preserve"> tamamı, </w:t>
      </w:r>
      <w:r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>dönüşte</w:t>
      </w:r>
      <w:r w:rsidR="00454F5B" w:rsidRPr="00E52C38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 xml:space="preserve"> de hareketlilik faaliyetinde her hangi bir sıkıntı yoksa </w:t>
      </w:r>
      <w:r w:rsidR="000A39B0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 xml:space="preserve">günlük hibenin </w:t>
      </w:r>
      <w:r w:rsidR="00454F5B" w:rsidRPr="00E52C38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 xml:space="preserve">kalan %20’lik </w:t>
      </w:r>
      <w:r w:rsidR="000A39B0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>kısmının</w:t>
      </w:r>
      <w:r w:rsidR="00454F5B" w:rsidRPr="00E52C38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 xml:space="preserve"> ödemesi yapılmaktadır. </w:t>
      </w:r>
    </w:p>
    <w:p w:rsidR="00454F5B" w:rsidRDefault="00454F5B" w:rsidP="00FB50FF">
      <w:pPr>
        <w:rPr>
          <w:b/>
          <w:lang w:val="tr-TR"/>
        </w:rPr>
      </w:pPr>
    </w:p>
    <w:p w:rsidR="00454F5B" w:rsidRPr="00454F5B" w:rsidRDefault="00454F5B" w:rsidP="00454F5B">
      <w:pPr>
        <w:pStyle w:val="ListeParagraf"/>
        <w:numPr>
          <w:ilvl w:val="2"/>
          <w:numId w:val="3"/>
        </w:numPr>
        <w:shd w:val="clear" w:color="auto" w:fill="FFFFFF"/>
        <w:spacing w:after="200" w:line="288" w:lineRule="auto"/>
        <w:jc w:val="both"/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</w:pPr>
      <w:r w:rsidRPr="00043310">
        <w:rPr>
          <w:rFonts w:asciiTheme="minorHAnsi" w:eastAsia="Times New Roman" w:hAnsiTheme="minorHAnsi" w:cs="Arial"/>
          <w:b/>
          <w:color w:val="222222"/>
          <w:sz w:val="28"/>
          <w:szCs w:val="28"/>
          <w:u w:val="single"/>
          <w:bdr w:val="none" w:sz="0" w:space="0" w:color="auto" w:frame="1"/>
          <w:lang w:val="tr-TR" w:eastAsia="tr-TR"/>
        </w:rPr>
        <w:t>Günlük hibe miktarları</w:t>
      </w:r>
      <w:r w:rsidRPr="00454F5B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 xml:space="preserve"> gidilecek olan ülkeye göre değişmektedir:</w:t>
      </w:r>
    </w:p>
    <w:p w:rsidR="00454F5B" w:rsidRPr="00454F5B" w:rsidRDefault="00454F5B" w:rsidP="00454F5B">
      <w:pPr>
        <w:spacing w:line="288" w:lineRule="auto"/>
        <w:ind w:left="720"/>
        <w:contextualSpacing/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5510"/>
        <w:gridCol w:w="1417"/>
      </w:tblGrid>
      <w:tr w:rsidR="00454F5B" w:rsidRPr="00454F5B" w:rsidTr="00454F5B">
        <w:trPr>
          <w:trHeight w:val="900"/>
        </w:trPr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tr-TR" w:eastAsia="en-US"/>
              </w:rPr>
            </w:pPr>
            <w:r w:rsidRPr="00454F5B">
              <w:rPr>
                <w:rFonts w:asciiTheme="minorHAnsi" w:hAnsiTheme="minorHAnsi" w:cstheme="minorBidi"/>
                <w:b/>
                <w:bCs/>
                <w:color w:val="000000"/>
                <w:lang w:val="tr-TR" w:eastAsia="en-US"/>
              </w:rPr>
              <w:t>Ülke Grupları</w:t>
            </w:r>
          </w:p>
        </w:tc>
        <w:tc>
          <w:tcPr>
            <w:tcW w:w="5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tr-TR" w:eastAsia="en-US"/>
              </w:rPr>
            </w:pPr>
            <w:r w:rsidRPr="00454F5B">
              <w:rPr>
                <w:rFonts w:asciiTheme="minorHAnsi" w:hAnsiTheme="minorHAnsi" w:cstheme="minorBidi"/>
                <w:b/>
                <w:bCs/>
                <w:color w:val="000000"/>
                <w:lang w:val="tr-TR" w:eastAsia="en-US"/>
              </w:rPr>
              <w:t>Hareketlilikte Misafir Olunan Ülkeler</w:t>
            </w:r>
            <w:bookmarkStart w:id="0" w:name="_GoBack"/>
            <w:bookmarkEnd w:id="0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val="tr-TR" w:eastAsia="en-US"/>
              </w:rPr>
            </w:pPr>
            <w:r w:rsidRPr="00454F5B">
              <w:rPr>
                <w:rFonts w:asciiTheme="minorHAnsi" w:hAnsiTheme="minorHAnsi" w:cstheme="minorBidi"/>
                <w:b/>
                <w:bCs/>
                <w:color w:val="000000"/>
                <w:lang w:val="tr-TR" w:eastAsia="en-US"/>
              </w:rPr>
              <w:t>Günlük hibe miktarları (Avro)</w:t>
            </w:r>
          </w:p>
        </w:tc>
      </w:tr>
      <w:tr w:rsidR="00454F5B" w:rsidRPr="00454F5B" w:rsidTr="00454F5B">
        <w:trPr>
          <w:trHeight w:val="706"/>
        </w:trPr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5B" w:rsidRPr="00454F5B" w:rsidRDefault="00454F5B" w:rsidP="00454F5B">
            <w:pPr>
              <w:spacing w:line="288" w:lineRule="auto"/>
              <w:rPr>
                <w:rFonts w:asciiTheme="minorHAnsi" w:hAnsiTheme="minorHAnsi" w:cstheme="minorBidi"/>
                <w:lang w:val="tr-TR" w:eastAsia="en-US"/>
              </w:rPr>
            </w:pPr>
            <w:r w:rsidRPr="00454F5B">
              <w:rPr>
                <w:rFonts w:asciiTheme="minorHAnsi" w:hAnsiTheme="minorHAnsi" w:cstheme="minorBidi"/>
                <w:lang w:val="tr-TR" w:eastAsia="en-US"/>
              </w:rPr>
              <w:t>1. Grup Program Ülkeleri</w:t>
            </w:r>
          </w:p>
        </w:tc>
        <w:tc>
          <w:tcPr>
            <w:tcW w:w="5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5B" w:rsidRPr="00454F5B" w:rsidRDefault="00454F5B" w:rsidP="00454F5B">
            <w:pPr>
              <w:spacing w:line="288" w:lineRule="auto"/>
              <w:rPr>
                <w:rFonts w:asciiTheme="minorHAnsi" w:hAnsiTheme="minorHAnsi" w:cstheme="minorBidi"/>
                <w:lang w:val="tr-TR" w:eastAsia="en-US"/>
              </w:rPr>
            </w:pPr>
            <w:r w:rsidRPr="00454F5B">
              <w:rPr>
                <w:rFonts w:asciiTheme="minorHAnsi" w:hAnsiTheme="minorHAnsi" w:cstheme="minorBidi"/>
                <w:lang w:val="tr-TR" w:eastAsia="en-US"/>
              </w:rPr>
              <w:t>Birleşik Krallık,  Danimarka, Finlandiya, İrlanda,  İsveç, İzlanda,  Lihtenştayn, Lüksemburg, Norveç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 w:cstheme="minorBidi"/>
                <w:lang w:val="tr-TR" w:eastAsia="en-US"/>
              </w:rPr>
            </w:pPr>
            <w:r w:rsidRPr="00454F5B">
              <w:rPr>
                <w:rFonts w:asciiTheme="minorHAnsi" w:hAnsiTheme="minorHAnsi" w:cstheme="minorBidi"/>
                <w:lang w:val="tr-TR" w:eastAsia="en-US"/>
              </w:rPr>
              <w:t>153 €</w:t>
            </w:r>
          </w:p>
        </w:tc>
      </w:tr>
      <w:tr w:rsidR="00454F5B" w:rsidRPr="00454F5B" w:rsidTr="00454F5B">
        <w:trPr>
          <w:trHeight w:val="856"/>
        </w:trPr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5B" w:rsidRPr="00454F5B" w:rsidRDefault="00454F5B" w:rsidP="00454F5B">
            <w:pPr>
              <w:spacing w:line="288" w:lineRule="auto"/>
              <w:rPr>
                <w:rFonts w:asciiTheme="minorHAnsi" w:hAnsiTheme="minorHAnsi" w:cstheme="minorBidi"/>
                <w:lang w:val="tr-TR" w:eastAsia="en-US"/>
              </w:rPr>
            </w:pPr>
            <w:r w:rsidRPr="00454F5B">
              <w:rPr>
                <w:rFonts w:asciiTheme="minorHAnsi" w:hAnsiTheme="minorHAnsi" w:cstheme="minorBidi"/>
                <w:lang w:val="tr-TR" w:eastAsia="en-US"/>
              </w:rPr>
              <w:t>2. Grup Program Ülkeleri</w:t>
            </w:r>
          </w:p>
        </w:tc>
        <w:tc>
          <w:tcPr>
            <w:tcW w:w="5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5B" w:rsidRPr="00454F5B" w:rsidRDefault="00454F5B" w:rsidP="00454F5B">
            <w:pPr>
              <w:spacing w:line="288" w:lineRule="auto"/>
              <w:rPr>
                <w:rFonts w:asciiTheme="minorHAnsi" w:hAnsiTheme="minorHAnsi" w:cstheme="minorBidi"/>
                <w:lang w:val="tr-TR" w:eastAsia="en-US"/>
              </w:rPr>
            </w:pPr>
            <w:r w:rsidRPr="00454F5B">
              <w:rPr>
                <w:rFonts w:asciiTheme="minorHAnsi" w:hAnsiTheme="minorHAnsi" w:cstheme="minorBidi"/>
                <w:lang w:val="tr-TR" w:eastAsia="en-US"/>
              </w:rPr>
              <w:t xml:space="preserve">Almanya, Avusturya, Belçika, Fransa, Güney Kıbrıs, Hollanda, İspanya, İtalya, Malta, Portekiz, Yunanistan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 w:cstheme="minorBidi"/>
                <w:lang w:val="tr-TR" w:eastAsia="en-US"/>
              </w:rPr>
            </w:pPr>
            <w:r w:rsidRPr="00454F5B">
              <w:rPr>
                <w:rFonts w:asciiTheme="minorHAnsi" w:hAnsiTheme="minorHAnsi" w:cstheme="minorBidi"/>
                <w:lang w:val="tr-TR" w:eastAsia="en-US"/>
              </w:rPr>
              <w:t>136 €</w:t>
            </w:r>
          </w:p>
        </w:tc>
      </w:tr>
      <w:tr w:rsidR="00454F5B" w:rsidRPr="00454F5B" w:rsidTr="00454F5B">
        <w:trPr>
          <w:trHeight w:val="744"/>
        </w:trPr>
        <w:tc>
          <w:tcPr>
            <w:tcW w:w="20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5B" w:rsidRPr="00454F5B" w:rsidRDefault="00454F5B" w:rsidP="00454F5B">
            <w:pPr>
              <w:spacing w:line="288" w:lineRule="auto"/>
              <w:rPr>
                <w:rFonts w:asciiTheme="minorHAnsi" w:hAnsiTheme="minorHAnsi" w:cstheme="minorBidi"/>
                <w:lang w:val="tr-TR" w:eastAsia="en-US"/>
              </w:rPr>
            </w:pPr>
            <w:r w:rsidRPr="00454F5B">
              <w:rPr>
                <w:rFonts w:asciiTheme="minorHAnsi" w:hAnsiTheme="minorHAnsi" w:cstheme="minorBidi"/>
                <w:lang w:val="tr-TR" w:eastAsia="en-US"/>
              </w:rPr>
              <w:t>3. Grup Program Ülkeleri</w:t>
            </w:r>
          </w:p>
        </w:tc>
        <w:tc>
          <w:tcPr>
            <w:tcW w:w="5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5B" w:rsidRPr="00454F5B" w:rsidRDefault="00454F5B" w:rsidP="00454F5B">
            <w:pPr>
              <w:spacing w:line="288" w:lineRule="auto"/>
              <w:rPr>
                <w:rFonts w:asciiTheme="minorHAnsi" w:hAnsiTheme="minorHAnsi" w:cstheme="minorBidi"/>
                <w:lang w:val="tr-TR" w:eastAsia="en-US"/>
              </w:rPr>
            </w:pPr>
            <w:r w:rsidRPr="00454F5B">
              <w:rPr>
                <w:rFonts w:asciiTheme="minorHAnsi" w:hAnsiTheme="minorHAnsi" w:cstheme="minorBidi"/>
                <w:lang w:val="tr-TR" w:eastAsia="en-US"/>
              </w:rPr>
              <w:t xml:space="preserve">Bulgaristan, Çek Cumhuriyeti, Estonya, Hırvatistan, Letonya, Litvanya, Macaristan, Makedonya, Polonya, Romanya, Slovakya, Slovenya, Türkiye </w:t>
            </w:r>
            <w:r w:rsidRPr="00454F5B">
              <w:rPr>
                <w:rFonts w:asciiTheme="minorHAnsi" w:hAnsiTheme="minorHAnsi" w:cstheme="minorBidi"/>
                <w:i/>
                <w:lang w:val="tr-TR" w:eastAsia="en-US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 w:cstheme="minorBidi"/>
                <w:lang w:val="tr-TR" w:eastAsia="en-US"/>
              </w:rPr>
            </w:pPr>
            <w:r w:rsidRPr="00454F5B">
              <w:rPr>
                <w:rFonts w:asciiTheme="minorHAnsi" w:hAnsiTheme="minorHAnsi" w:cstheme="minorBidi"/>
                <w:lang w:val="tr-TR" w:eastAsia="en-US"/>
              </w:rPr>
              <w:t xml:space="preserve">119 € </w:t>
            </w:r>
          </w:p>
        </w:tc>
      </w:tr>
    </w:tbl>
    <w:p w:rsidR="00454F5B" w:rsidRPr="00454F5B" w:rsidRDefault="00454F5B" w:rsidP="00454F5B">
      <w:pPr>
        <w:shd w:val="clear" w:color="auto" w:fill="FFFFFF"/>
        <w:spacing w:line="288" w:lineRule="auto"/>
        <w:ind w:left="720"/>
        <w:contextualSpacing/>
        <w:jc w:val="both"/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</w:pPr>
    </w:p>
    <w:p w:rsidR="00454F5B" w:rsidRPr="00454F5B" w:rsidRDefault="00454F5B" w:rsidP="00454F5B">
      <w:pPr>
        <w:pStyle w:val="ListeParagraf"/>
        <w:shd w:val="clear" w:color="auto" w:fill="FFFFFF"/>
        <w:spacing w:line="288" w:lineRule="auto"/>
        <w:ind w:left="1080"/>
        <w:jc w:val="both"/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</w:pPr>
    </w:p>
    <w:p w:rsidR="00454F5B" w:rsidRPr="00454F5B" w:rsidRDefault="00454F5B" w:rsidP="00454F5B">
      <w:pPr>
        <w:pStyle w:val="ListeParagraf"/>
        <w:numPr>
          <w:ilvl w:val="2"/>
          <w:numId w:val="3"/>
        </w:numPr>
        <w:shd w:val="clear" w:color="auto" w:fill="FFFFFF"/>
        <w:spacing w:line="288" w:lineRule="auto"/>
        <w:jc w:val="both"/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</w:pPr>
      <w:r w:rsidRPr="00043310">
        <w:rPr>
          <w:rFonts w:asciiTheme="minorHAnsi" w:eastAsia="Times New Roman" w:hAnsiTheme="minorHAnsi" w:cs="Arial"/>
          <w:b/>
          <w:color w:val="222222"/>
          <w:sz w:val="28"/>
          <w:szCs w:val="28"/>
          <w:u w:val="single"/>
          <w:bdr w:val="none" w:sz="0" w:space="0" w:color="auto" w:frame="1"/>
          <w:lang w:val="tr-TR" w:eastAsia="tr-TR"/>
        </w:rPr>
        <w:t>Seyahat gideri</w:t>
      </w:r>
      <w:r w:rsidRPr="00454F5B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 xml:space="preserve"> ise “Mesafe Hesaplayıcısı” (</w:t>
      </w:r>
      <w:hyperlink r:id="rId6" w:history="1">
        <w:r w:rsidRPr="00454F5B">
          <w:rPr>
            <w:rFonts w:asciiTheme="minorHAnsi" w:hAnsiTheme="minorHAnsi"/>
            <w:color w:val="0000FF"/>
            <w:u w:val="single"/>
            <w:lang w:val="tr-TR" w:eastAsia="tr-TR"/>
          </w:rPr>
          <w:t>http://ec.europa.eu/programmes/erasmus-plus/tools/distance_en.htm</w:t>
        </w:r>
      </w:hyperlink>
      <w:r w:rsidRPr="00454F5B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>)  üzerinden Sakarya Üniversitesi ile gid</w:t>
      </w:r>
      <w:r w:rsidR="0061258D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>ilen</w:t>
      </w:r>
      <w:r w:rsidRPr="00454F5B"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  <w:t xml:space="preserve"> yer arasındaki Km değeri dikkate alınarak hesaplanmaktadır. </w:t>
      </w:r>
    </w:p>
    <w:p w:rsidR="00454F5B" w:rsidRPr="00454F5B" w:rsidRDefault="00454F5B" w:rsidP="00454F5B">
      <w:pPr>
        <w:shd w:val="clear" w:color="auto" w:fill="FFFFFF"/>
        <w:spacing w:line="288" w:lineRule="auto"/>
        <w:ind w:left="720"/>
        <w:contextualSpacing/>
        <w:jc w:val="both"/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</w:pP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2943"/>
        <w:gridCol w:w="1701"/>
      </w:tblGrid>
      <w:tr w:rsidR="00454F5B" w:rsidRPr="00454F5B" w:rsidTr="0036488A">
        <w:trPr>
          <w:trHeight w:hRule="exact" w:val="789"/>
        </w:trPr>
        <w:tc>
          <w:tcPr>
            <w:tcW w:w="2943" w:type="dxa"/>
            <w:vAlign w:val="center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b/>
                <w:sz w:val="22"/>
                <w:szCs w:val="22"/>
                <w:lang w:val="tr-TR" w:eastAsia="tr-TR"/>
              </w:rPr>
              <w:t>Elde edilen “km” değeri</w:t>
            </w:r>
          </w:p>
        </w:tc>
        <w:tc>
          <w:tcPr>
            <w:tcW w:w="1701" w:type="dxa"/>
            <w:vAlign w:val="center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b/>
                <w:sz w:val="22"/>
                <w:szCs w:val="22"/>
                <w:lang w:val="tr-TR" w:eastAsia="tr-TR"/>
              </w:rPr>
              <w:t>Hibe miktarı (Avro)</w:t>
            </w:r>
          </w:p>
        </w:tc>
      </w:tr>
      <w:tr w:rsidR="00454F5B" w:rsidRPr="00454F5B" w:rsidTr="0036488A">
        <w:trPr>
          <w:trHeight w:hRule="exact" w:val="421"/>
        </w:trPr>
        <w:tc>
          <w:tcPr>
            <w:tcW w:w="2943" w:type="dxa"/>
            <w:vAlign w:val="center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>10-99 Km arası</w:t>
            </w:r>
          </w:p>
        </w:tc>
        <w:tc>
          <w:tcPr>
            <w:tcW w:w="1701" w:type="dxa"/>
            <w:vAlign w:val="center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>20 €</w:t>
            </w:r>
          </w:p>
        </w:tc>
      </w:tr>
      <w:tr w:rsidR="00454F5B" w:rsidRPr="00454F5B" w:rsidTr="0036488A">
        <w:trPr>
          <w:trHeight w:hRule="exact" w:val="397"/>
        </w:trPr>
        <w:tc>
          <w:tcPr>
            <w:tcW w:w="2943" w:type="dxa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>100 - 499 Km arası</w:t>
            </w:r>
          </w:p>
        </w:tc>
        <w:tc>
          <w:tcPr>
            <w:tcW w:w="1701" w:type="dxa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>180 €</w:t>
            </w:r>
          </w:p>
        </w:tc>
      </w:tr>
      <w:tr w:rsidR="00454F5B" w:rsidRPr="00454F5B" w:rsidTr="0036488A">
        <w:trPr>
          <w:trHeight w:hRule="exact" w:val="397"/>
        </w:trPr>
        <w:tc>
          <w:tcPr>
            <w:tcW w:w="2943" w:type="dxa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>500 - 1999 Km arası</w:t>
            </w:r>
          </w:p>
        </w:tc>
        <w:tc>
          <w:tcPr>
            <w:tcW w:w="1701" w:type="dxa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>275 €</w:t>
            </w:r>
          </w:p>
        </w:tc>
      </w:tr>
      <w:tr w:rsidR="00454F5B" w:rsidRPr="00454F5B" w:rsidTr="0036488A">
        <w:trPr>
          <w:trHeight w:hRule="exact" w:val="397"/>
        </w:trPr>
        <w:tc>
          <w:tcPr>
            <w:tcW w:w="2943" w:type="dxa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>2000 - 2999 Km arası</w:t>
            </w:r>
          </w:p>
        </w:tc>
        <w:tc>
          <w:tcPr>
            <w:tcW w:w="1701" w:type="dxa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 xml:space="preserve">360 € </w:t>
            </w:r>
          </w:p>
        </w:tc>
      </w:tr>
      <w:tr w:rsidR="00454F5B" w:rsidRPr="00454F5B" w:rsidTr="0036488A">
        <w:trPr>
          <w:trHeight w:hRule="exact" w:val="397"/>
        </w:trPr>
        <w:tc>
          <w:tcPr>
            <w:tcW w:w="2943" w:type="dxa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>3000 - 3999 Km arası</w:t>
            </w:r>
          </w:p>
        </w:tc>
        <w:tc>
          <w:tcPr>
            <w:tcW w:w="1701" w:type="dxa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>530 €</w:t>
            </w:r>
          </w:p>
        </w:tc>
      </w:tr>
      <w:tr w:rsidR="00454F5B" w:rsidRPr="00454F5B" w:rsidTr="0036488A">
        <w:trPr>
          <w:trHeight w:hRule="exact" w:val="397"/>
        </w:trPr>
        <w:tc>
          <w:tcPr>
            <w:tcW w:w="2943" w:type="dxa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>4000 - 7999 Km arası</w:t>
            </w:r>
          </w:p>
        </w:tc>
        <w:tc>
          <w:tcPr>
            <w:tcW w:w="1701" w:type="dxa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>820 €</w:t>
            </w:r>
          </w:p>
        </w:tc>
      </w:tr>
      <w:tr w:rsidR="00454F5B" w:rsidRPr="00454F5B" w:rsidTr="0036488A">
        <w:trPr>
          <w:trHeight w:hRule="exact" w:val="397"/>
        </w:trPr>
        <w:tc>
          <w:tcPr>
            <w:tcW w:w="2943" w:type="dxa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>8000 Km ve üzeri</w:t>
            </w:r>
          </w:p>
        </w:tc>
        <w:tc>
          <w:tcPr>
            <w:tcW w:w="1701" w:type="dxa"/>
          </w:tcPr>
          <w:p w:rsidR="00454F5B" w:rsidRPr="00454F5B" w:rsidRDefault="00454F5B" w:rsidP="00454F5B">
            <w:pPr>
              <w:spacing w:line="288" w:lineRule="auto"/>
              <w:jc w:val="center"/>
              <w:rPr>
                <w:rFonts w:asciiTheme="minorHAnsi" w:hAnsiTheme="minorHAnsi"/>
                <w:sz w:val="22"/>
                <w:szCs w:val="22"/>
                <w:lang w:val="tr-TR" w:eastAsia="tr-TR"/>
              </w:rPr>
            </w:pPr>
            <w:r w:rsidRPr="00454F5B">
              <w:rPr>
                <w:rFonts w:asciiTheme="minorHAnsi" w:hAnsiTheme="minorHAnsi"/>
                <w:sz w:val="22"/>
                <w:szCs w:val="22"/>
                <w:lang w:val="tr-TR" w:eastAsia="tr-TR"/>
              </w:rPr>
              <w:t xml:space="preserve">1500 € </w:t>
            </w:r>
          </w:p>
        </w:tc>
      </w:tr>
    </w:tbl>
    <w:p w:rsidR="00454F5B" w:rsidRPr="00454F5B" w:rsidRDefault="00454F5B" w:rsidP="00454F5B">
      <w:pPr>
        <w:shd w:val="clear" w:color="auto" w:fill="FFFFFF"/>
        <w:spacing w:line="288" w:lineRule="auto"/>
        <w:ind w:left="720"/>
        <w:contextualSpacing/>
        <w:jc w:val="both"/>
        <w:rPr>
          <w:rFonts w:asciiTheme="minorHAnsi" w:eastAsia="Times New Roman" w:hAnsiTheme="minorHAnsi" w:cs="Arial"/>
          <w:color w:val="222222"/>
          <w:bdr w:val="none" w:sz="0" w:space="0" w:color="auto" w:frame="1"/>
          <w:lang w:val="tr-TR" w:eastAsia="tr-TR"/>
        </w:rPr>
      </w:pPr>
    </w:p>
    <w:p w:rsidR="00454F5B" w:rsidRPr="006E08B1" w:rsidRDefault="00454F5B" w:rsidP="00FB50FF">
      <w:pPr>
        <w:rPr>
          <w:b/>
          <w:lang w:val="tr-TR"/>
        </w:rPr>
      </w:pPr>
    </w:p>
    <w:sectPr w:rsidR="00454F5B" w:rsidRPr="006E08B1" w:rsidSect="00454F5B">
      <w:pgSz w:w="11906" w:h="16838"/>
      <w:pgMar w:top="1418" w:right="1558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30671"/>
    <w:multiLevelType w:val="hybridMultilevel"/>
    <w:tmpl w:val="F7143AA0"/>
    <w:lvl w:ilvl="0" w:tplc="3CCCEC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9028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67C0E18"/>
    <w:multiLevelType w:val="hybridMultilevel"/>
    <w:tmpl w:val="C5EA15DC"/>
    <w:lvl w:ilvl="0" w:tplc="F438A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B7"/>
    <w:rsid w:val="00043310"/>
    <w:rsid w:val="000A39B0"/>
    <w:rsid w:val="00181ECC"/>
    <w:rsid w:val="001D30B7"/>
    <w:rsid w:val="00204553"/>
    <w:rsid w:val="0021107E"/>
    <w:rsid w:val="00454F5B"/>
    <w:rsid w:val="00505704"/>
    <w:rsid w:val="0061258D"/>
    <w:rsid w:val="006528E0"/>
    <w:rsid w:val="006D4DAA"/>
    <w:rsid w:val="006E08B1"/>
    <w:rsid w:val="00717DCC"/>
    <w:rsid w:val="00A52B96"/>
    <w:rsid w:val="00A75668"/>
    <w:rsid w:val="00BE1E46"/>
    <w:rsid w:val="00D26B94"/>
    <w:rsid w:val="00EA1150"/>
    <w:rsid w:val="00F83D70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FF"/>
    <w:pPr>
      <w:spacing w:after="0" w:line="240" w:lineRule="auto"/>
    </w:pPr>
    <w:rPr>
      <w:rFonts w:ascii="Calibri" w:hAnsi="Calibri" w:cs="Times New Roman"/>
      <w:lang w:val="en-AU" w:eastAsia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28E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8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8E0"/>
    <w:rPr>
      <w:rFonts w:ascii="Tahoma" w:hAnsi="Tahoma" w:cs="Tahoma"/>
      <w:sz w:val="16"/>
      <w:szCs w:val="16"/>
      <w:lang w:val="en-AU" w:eastAsia="en-AU"/>
    </w:rPr>
  </w:style>
  <w:style w:type="paragraph" w:styleId="ListeParagraf">
    <w:name w:val="List Paragraph"/>
    <w:basedOn w:val="Normal"/>
    <w:uiPriority w:val="34"/>
    <w:qFormat/>
    <w:rsid w:val="002045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6B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181ECC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45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FF"/>
    <w:pPr>
      <w:spacing w:after="0" w:line="240" w:lineRule="auto"/>
    </w:pPr>
    <w:rPr>
      <w:rFonts w:ascii="Calibri" w:hAnsi="Calibri" w:cs="Times New Roman"/>
      <w:lang w:val="en-AU" w:eastAsia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28E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8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8E0"/>
    <w:rPr>
      <w:rFonts w:ascii="Tahoma" w:hAnsi="Tahoma" w:cs="Tahoma"/>
      <w:sz w:val="16"/>
      <w:szCs w:val="16"/>
      <w:lang w:val="en-AU" w:eastAsia="en-AU"/>
    </w:rPr>
  </w:style>
  <w:style w:type="paragraph" w:styleId="ListeParagraf">
    <w:name w:val="List Paragraph"/>
    <w:basedOn w:val="Normal"/>
    <w:uiPriority w:val="34"/>
    <w:qFormat/>
    <w:rsid w:val="002045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6B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uiPriority w:val="1"/>
    <w:qFormat/>
    <w:rsid w:val="00181ECC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45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programmes/erasmus-plus/tools/distance_e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Bol</dc:creator>
  <cp:lastModifiedBy>Sau</cp:lastModifiedBy>
  <cp:revision>6</cp:revision>
  <dcterms:created xsi:type="dcterms:W3CDTF">2016-04-12T11:19:00Z</dcterms:created>
  <dcterms:modified xsi:type="dcterms:W3CDTF">2019-06-18T11:23:00Z</dcterms:modified>
</cp:coreProperties>
</file>