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DB" w:rsidRPr="003B6EDB" w:rsidRDefault="003B6EDB" w:rsidP="003B6EDB">
      <w:pPr>
        <w:shd w:val="clear" w:color="auto" w:fill="FFFFFF"/>
        <w:spacing w:before="180" w:after="60" w:line="240" w:lineRule="auto"/>
        <w:textAlignment w:val="baseline"/>
        <w:outlineLvl w:val="1"/>
        <w:rPr>
          <w:rFonts w:ascii="Times New Roman" w:eastAsia="Times New Roman" w:hAnsi="Times New Roman" w:cs="Times New Roman"/>
          <w:b/>
          <w:bCs/>
          <w:color w:val="000000" w:themeColor="text1"/>
          <w:sz w:val="28"/>
          <w:szCs w:val="28"/>
          <w:lang w:eastAsia="tr-TR"/>
        </w:rPr>
      </w:pPr>
      <w:r w:rsidRPr="003B6EDB">
        <w:rPr>
          <w:rFonts w:ascii="Times New Roman" w:eastAsia="Times New Roman" w:hAnsi="Times New Roman" w:cs="Times New Roman"/>
          <w:b/>
          <w:bCs/>
          <w:color w:val="000000" w:themeColor="text1"/>
          <w:sz w:val="28"/>
          <w:szCs w:val="28"/>
          <w:lang w:eastAsia="tr-TR"/>
        </w:rPr>
        <w:t>Erasmus+ Erasmus Programı</w:t>
      </w:r>
    </w:p>
    <w:p w:rsidR="003B6EDB" w:rsidRPr="003B6EDB" w:rsidRDefault="003B6EDB" w:rsidP="003B6EDB">
      <w:pPr>
        <w:shd w:val="clear" w:color="auto" w:fill="FFFFFF"/>
        <w:spacing w:before="180" w:after="60" w:line="240" w:lineRule="auto"/>
        <w:textAlignment w:val="baseline"/>
        <w:outlineLvl w:val="2"/>
        <w:rPr>
          <w:rFonts w:ascii="Times New Roman" w:eastAsia="Times New Roman" w:hAnsi="Times New Roman" w:cs="Times New Roman"/>
          <w:b/>
          <w:bCs/>
          <w:color w:val="000000" w:themeColor="text1"/>
          <w:sz w:val="28"/>
          <w:szCs w:val="28"/>
          <w:lang w:eastAsia="tr-TR"/>
        </w:rPr>
      </w:pPr>
      <w:r w:rsidRPr="003B6EDB">
        <w:rPr>
          <w:rFonts w:ascii="Times New Roman" w:eastAsia="Times New Roman" w:hAnsi="Times New Roman" w:cs="Times New Roman"/>
          <w:b/>
          <w:bCs/>
          <w:color w:val="000000" w:themeColor="text1"/>
          <w:sz w:val="28"/>
          <w:szCs w:val="28"/>
          <w:lang w:eastAsia="tr-TR"/>
        </w:rPr>
        <w:t>(Yükseköğretim Alanında Erasmus+)</w:t>
      </w:r>
    </w:p>
    <w:p w:rsidR="003B6EDB" w:rsidRPr="003B6EDB" w:rsidRDefault="003B6EDB" w:rsidP="003B6EDB">
      <w:pPr>
        <w:pStyle w:val="NormalWeb"/>
        <w:shd w:val="clear" w:color="auto" w:fill="FFFFFF"/>
        <w:spacing w:before="0" w:beforeAutospacing="0" w:after="0" w:afterAutospacing="0" w:line="315" w:lineRule="atLeast"/>
        <w:textAlignment w:val="baseline"/>
        <w:rPr>
          <w:color w:val="303837"/>
        </w:rPr>
      </w:pPr>
      <w:r w:rsidRPr="003B6EDB">
        <w:rPr>
          <w:color w:val="303837"/>
          <w:bdr w:val="none" w:sz="0" w:space="0" w:color="auto" w:frame="1"/>
        </w:rPr>
        <w:t xml:space="preserve">Avrupa Birliği Komisyonu tarafından 2007-2013 yılları arasında yürütülen ve 2014 yılı itibariyle sona eren </w:t>
      </w:r>
      <w:proofErr w:type="spellStart"/>
      <w:r w:rsidRPr="003B6EDB">
        <w:rPr>
          <w:color w:val="303837"/>
          <w:bdr w:val="none" w:sz="0" w:space="0" w:color="auto" w:frame="1"/>
        </w:rPr>
        <w:t>Hayatboyu</w:t>
      </w:r>
      <w:proofErr w:type="spellEnd"/>
      <w:r w:rsidRPr="003B6EDB">
        <w:rPr>
          <w:color w:val="303837"/>
          <w:bdr w:val="none" w:sz="0" w:space="0" w:color="auto" w:frame="1"/>
        </w:rPr>
        <w:t xml:space="preserve"> Öğrenme Programı kapsamında yükseköğretim alanında sağlanan hibe destekleri 2014-2020 yılları arasında Erasmus+ Programı altında da devam edecektir.</w:t>
      </w:r>
      <w:r w:rsidRPr="003B6EDB">
        <w:rPr>
          <w:color w:val="303837"/>
        </w:rPr>
        <w:br/>
      </w:r>
      <w:r w:rsidRPr="003B6EDB">
        <w:rPr>
          <w:color w:val="303837"/>
        </w:rPr>
        <w:br/>
      </w:r>
      <w:r w:rsidRPr="003B6EDB">
        <w:rPr>
          <w:color w:val="303837"/>
          <w:bdr w:val="none" w:sz="0" w:space="0" w:color="auto" w:frame="1"/>
        </w:rPr>
        <w:t>Erasmus+ Programı, eğitim, gençlik ve spor alanlarında yeni ihtiyaçlara yönelik Avrupa 2020 Stratejisi hedeflerine uygun olarak farklı sektörler arasında işbirliğini teşvik eden daha etkili araçlar sunmayı amaçlamaktadır.</w:t>
      </w:r>
      <w:r w:rsidRPr="003B6EDB">
        <w:rPr>
          <w:color w:val="303837"/>
          <w:bdr w:val="none" w:sz="0" w:space="0" w:color="auto" w:frame="1"/>
        </w:rPr>
        <w:br/>
      </w:r>
      <w:r w:rsidRPr="003B6EDB">
        <w:rPr>
          <w:color w:val="303837"/>
          <w:bdr w:val="none" w:sz="0" w:space="0" w:color="auto" w:frame="1"/>
        </w:rPr>
        <w:br/>
        <w:t>Yükseköğretim alanına özel olarak ise, yükseköğretimde kaliteyi artırmayı, yükseköğretim kurumlarının birbirleri ve iş dünyası ile işbirliğini güçlendirmeyi amaçlamaktadır. </w:t>
      </w:r>
    </w:p>
    <w:p w:rsidR="003B6EDB" w:rsidRPr="003B6EDB" w:rsidRDefault="003B6EDB" w:rsidP="003B6EDB">
      <w:pPr>
        <w:pStyle w:val="NormalWeb"/>
        <w:shd w:val="clear" w:color="auto" w:fill="FFFFFF"/>
        <w:spacing w:before="0" w:beforeAutospacing="0" w:after="0" w:afterAutospacing="0" w:line="315" w:lineRule="atLeast"/>
        <w:textAlignment w:val="baseline"/>
        <w:rPr>
          <w:color w:val="303837"/>
        </w:rPr>
      </w:pPr>
      <w:r w:rsidRPr="003B6EDB">
        <w:rPr>
          <w:color w:val="303837"/>
          <w:bdr w:val="none" w:sz="0" w:space="0" w:color="auto" w:frame="1"/>
        </w:rPr>
        <w:t>Erasmus+ Erasmus faaliyetlerinin hedef kitlesi en genel anlamıyla, yükseköğretime taraf olan kurum ve kuruluşlar ile bu kurumların çalışanları ile öğrencileri kapsamaktadır. Başvurular sadece kurum ve kuruluşlar tarafından, proje çeşidine göre Başkanlığımıza ya da AB Komisyonunun ilgili birimi olan Eğitsel, Görsel ve Kültürel Yürütme Ajansına yapılabilmektedir. Bireysel başvuru kabul edilmemektedir.</w:t>
      </w:r>
    </w:p>
    <w:p w:rsidR="003B6EDB" w:rsidRPr="003B6EDB" w:rsidRDefault="003B6EDB" w:rsidP="003B6EDB">
      <w:pPr>
        <w:pStyle w:val="NormalWeb"/>
        <w:shd w:val="clear" w:color="auto" w:fill="FFFFFF"/>
        <w:spacing w:before="0" w:beforeAutospacing="0" w:after="0" w:afterAutospacing="0" w:line="315" w:lineRule="atLeast"/>
        <w:textAlignment w:val="baseline"/>
        <w:rPr>
          <w:color w:val="303837"/>
        </w:rPr>
      </w:pPr>
      <w:r w:rsidRPr="003B6EDB">
        <w:rPr>
          <w:color w:val="303837"/>
          <w:bdr w:val="none" w:sz="0" w:space="0" w:color="auto" w:frame="1"/>
        </w:rPr>
        <w:t>Erasmus+ Programı altında yükseköğretim alanında hibe desteği sağlanan faaliyetler aşağıda verilmektedir. Detaylı bilgi almak üzere ilgili faaliyetin üzerine tıklamanız yeterlidir. </w:t>
      </w:r>
    </w:p>
    <w:p w:rsidR="003B6EDB" w:rsidRPr="003B6EDB" w:rsidRDefault="003B6EDB" w:rsidP="003B6EDB">
      <w:pPr>
        <w:pStyle w:val="Balk4"/>
        <w:keepNext w:val="0"/>
        <w:keepLines w:val="0"/>
        <w:numPr>
          <w:ilvl w:val="0"/>
          <w:numId w:val="1"/>
        </w:numPr>
        <w:shd w:val="clear" w:color="auto" w:fill="FFFFFF"/>
        <w:spacing w:before="0" w:line="240" w:lineRule="auto"/>
        <w:ind w:left="450"/>
        <w:textAlignment w:val="baseline"/>
        <w:rPr>
          <w:rFonts w:ascii="Times New Roman" w:hAnsi="Times New Roman" w:cs="Times New Roman"/>
          <w:color w:val="303837"/>
          <w:sz w:val="24"/>
          <w:szCs w:val="24"/>
        </w:rPr>
      </w:pPr>
      <w:r w:rsidRPr="003B6EDB">
        <w:rPr>
          <w:rFonts w:ascii="Times New Roman" w:hAnsi="Times New Roman" w:cs="Times New Roman"/>
          <w:i w:val="0"/>
          <w:iCs w:val="0"/>
          <w:color w:val="303837"/>
          <w:sz w:val="24"/>
          <w:szCs w:val="24"/>
          <w:bdr w:val="none" w:sz="0" w:space="0" w:color="auto" w:frame="1"/>
        </w:rPr>
        <w:t>Ana Eylem 1 - Bireylerin Öğrenme Hareketliliği (KA1) altında yer alan </w:t>
      </w:r>
    </w:p>
    <w:p w:rsidR="003B6EDB" w:rsidRPr="003B6EDB" w:rsidRDefault="00012F1D" w:rsidP="003B6EDB">
      <w:pPr>
        <w:numPr>
          <w:ilvl w:val="0"/>
          <w:numId w:val="2"/>
        </w:numPr>
        <w:shd w:val="clear" w:color="auto" w:fill="FFFFFF"/>
        <w:spacing w:after="0" w:line="315" w:lineRule="atLeast"/>
        <w:ind w:left="450"/>
        <w:textAlignment w:val="baseline"/>
        <w:rPr>
          <w:rFonts w:ascii="Times New Roman" w:hAnsi="Times New Roman" w:cs="Times New Roman"/>
          <w:color w:val="303837"/>
          <w:sz w:val="24"/>
          <w:szCs w:val="24"/>
        </w:rPr>
      </w:pPr>
      <w:hyperlink r:id="rId5" w:history="1">
        <w:r w:rsidR="003B6EDB" w:rsidRPr="003B6EDB">
          <w:rPr>
            <w:rStyle w:val="Kpr"/>
            <w:rFonts w:ascii="Times New Roman" w:hAnsi="Times New Roman" w:cs="Times New Roman"/>
            <w:b/>
            <w:bCs/>
            <w:color w:val="474747"/>
            <w:sz w:val="24"/>
            <w:szCs w:val="24"/>
            <w:bdr w:val="none" w:sz="0" w:space="0" w:color="auto" w:frame="1"/>
          </w:rPr>
          <w:t>Yükseköğretim Öğrenci ve Personelinin Öğrenme Hareketliliği</w:t>
        </w:r>
      </w:hyperlink>
      <w:r w:rsidR="003B6EDB" w:rsidRPr="003B6EDB">
        <w:rPr>
          <w:rStyle w:val="apple-converted-space"/>
          <w:rFonts w:ascii="Times New Roman" w:hAnsi="Times New Roman" w:cs="Times New Roman"/>
          <w:color w:val="303837"/>
          <w:sz w:val="24"/>
          <w:szCs w:val="24"/>
          <w:bdr w:val="none" w:sz="0" w:space="0" w:color="auto" w:frame="1"/>
        </w:rPr>
        <w:t> </w:t>
      </w:r>
      <w:r w:rsidR="003B6EDB" w:rsidRPr="003B6EDB">
        <w:rPr>
          <w:rFonts w:ascii="Times New Roman" w:hAnsi="Times New Roman" w:cs="Times New Roman"/>
          <w:color w:val="303837"/>
          <w:sz w:val="24"/>
          <w:szCs w:val="24"/>
          <w:bdr w:val="none" w:sz="0" w:space="0" w:color="auto" w:frame="1"/>
        </w:rPr>
        <w:t>(Başvurular Başkanlığımıza yapılmaktadır)</w:t>
      </w:r>
    </w:p>
    <w:p w:rsidR="003B6EDB" w:rsidRPr="003B6EDB" w:rsidRDefault="00012F1D" w:rsidP="003B6EDB">
      <w:pPr>
        <w:numPr>
          <w:ilvl w:val="0"/>
          <w:numId w:val="3"/>
        </w:numPr>
        <w:shd w:val="clear" w:color="auto" w:fill="FFFFFF"/>
        <w:spacing w:after="0" w:line="315" w:lineRule="atLeast"/>
        <w:ind w:left="450"/>
        <w:textAlignment w:val="baseline"/>
        <w:rPr>
          <w:rFonts w:ascii="Times New Roman" w:hAnsi="Times New Roman" w:cs="Times New Roman"/>
          <w:color w:val="303837"/>
          <w:sz w:val="24"/>
          <w:szCs w:val="24"/>
        </w:rPr>
      </w:pPr>
      <w:hyperlink r:id="rId6" w:history="1">
        <w:r w:rsidR="003B6EDB" w:rsidRPr="003B6EDB">
          <w:rPr>
            <w:rStyle w:val="Kpr"/>
            <w:rFonts w:ascii="Times New Roman" w:hAnsi="Times New Roman" w:cs="Times New Roman"/>
            <w:b/>
            <w:bCs/>
            <w:color w:val="474747"/>
            <w:sz w:val="24"/>
            <w:szCs w:val="24"/>
            <w:bdr w:val="none" w:sz="0" w:space="0" w:color="auto" w:frame="1"/>
          </w:rPr>
          <w:t>Ortak Yüksek Lisans Dereceleri</w:t>
        </w:r>
      </w:hyperlink>
      <w:r w:rsidR="003B6EDB" w:rsidRPr="003B6EDB">
        <w:rPr>
          <w:rStyle w:val="apple-converted-space"/>
          <w:rFonts w:ascii="Times New Roman" w:hAnsi="Times New Roman" w:cs="Times New Roman"/>
          <w:color w:val="303837"/>
          <w:sz w:val="24"/>
          <w:szCs w:val="24"/>
          <w:bdr w:val="none" w:sz="0" w:space="0" w:color="auto" w:frame="1"/>
        </w:rPr>
        <w:t> </w:t>
      </w:r>
      <w:r w:rsidR="003B6EDB" w:rsidRPr="003B6EDB">
        <w:rPr>
          <w:rFonts w:ascii="Times New Roman" w:hAnsi="Times New Roman" w:cs="Times New Roman"/>
          <w:color w:val="303837"/>
          <w:sz w:val="24"/>
          <w:szCs w:val="24"/>
          <w:bdr w:val="none" w:sz="0" w:space="0" w:color="auto" w:frame="1"/>
        </w:rPr>
        <w:t>(Başvurular Komisyon Yürütme Ajansına yapılmaktadır)</w:t>
      </w:r>
    </w:p>
    <w:p w:rsidR="003B6EDB" w:rsidRPr="003B6EDB" w:rsidRDefault="00012F1D" w:rsidP="003B6EDB">
      <w:pPr>
        <w:numPr>
          <w:ilvl w:val="0"/>
          <w:numId w:val="4"/>
        </w:numPr>
        <w:shd w:val="clear" w:color="auto" w:fill="FFFFFF"/>
        <w:spacing w:after="0" w:line="315" w:lineRule="atLeast"/>
        <w:ind w:left="450"/>
        <w:textAlignment w:val="baseline"/>
        <w:rPr>
          <w:rFonts w:ascii="Times New Roman" w:hAnsi="Times New Roman" w:cs="Times New Roman"/>
          <w:color w:val="303837"/>
          <w:sz w:val="24"/>
          <w:szCs w:val="24"/>
        </w:rPr>
      </w:pPr>
      <w:hyperlink r:id="rId7" w:history="1">
        <w:r w:rsidR="003B6EDB" w:rsidRPr="003B6EDB">
          <w:rPr>
            <w:rStyle w:val="Kpr"/>
            <w:rFonts w:ascii="Times New Roman" w:hAnsi="Times New Roman" w:cs="Times New Roman"/>
            <w:b/>
            <w:bCs/>
            <w:color w:val="474747"/>
            <w:sz w:val="24"/>
            <w:szCs w:val="24"/>
            <w:bdr w:val="none" w:sz="0" w:space="0" w:color="auto" w:frame="1"/>
          </w:rPr>
          <w:t>Yüksek Lisans Öğrencileri İçin Kredi Garantisi</w:t>
        </w:r>
      </w:hyperlink>
      <w:r w:rsidR="003B6EDB" w:rsidRPr="003B6EDB">
        <w:rPr>
          <w:rStyle w:val="apple-converted-space"/>
          <w:rFonts w:ascii="Times New Roman" w:hAnsi="Times New Roman" w:cs="Times New Roman"/>
          <w:color w:val="303837"/>
          <w:sz w:val="24"/>
          <w:szCs w:val="24"/>
          <w:bdr w:val="none" w:sz="0" w:space="0" w:color="auto" w:frame="1"/>
        </w:rPr>
        <w:t> </w:t>
      </w:r>
      <w:r w:rsidR="003B6EDB" w:rsidRPr="003B6EDB">
        <w:rPr>
          <w:rFonts w:ascii="Times New Roman" w:hAnsi="Times New Roman" w:cs="Times New Roman"/>
          <w:color w:val="303837"/>
          <w:sz w:val="24"/>
          <w:szCs w:val="24"/>
          <w:bdr w:val="none" w:sz="0" w:space="0" w:color="auto" w:frame="1"/>
        </w:rPr>
        <w:t>(Başvurular Komisyon Yürütme Ajansına yapılmaktadır)</w:t>
      </w:r>
    </w:p>
    <w:p w:rsidR="003B6EDB" w:rsidRPr="003B6EDB" w:rsidRDefault="003B6EDB" w:rsidP="003B6EDB">
      <w:pPr>
        <w:pStyle w:val="Balk4"/>
        <w:keepNext w:val="0"/>
        <w:keepLines w:val="0"/>
        <w:numPr>
          <w:ilvl w:val="0"/>
          <w:numId w:val="5"/>
        </w:numPr>
        <w:shd w:val="clear" w:color="auto" w:fill="FFFFFF"/>
        <w:spacing w:before="0" w:line="240" w:lineRule="auto"/>
        <w:ind w:left="450"/>
        <w:textAlignment w:val="baseline"/>
        <w:rPr>
          <w:rFonts w:ascii="Times New Roman" w:hAnsi="Times New Roman" w:cs="Times New Roman"/>
          <w:color w:val="303837"/>
          <w:sz w:val="24"/>
          <w:szCs w:val="24"/>
        </w:rPr>
      </w:pPr>
      <w:r w:rsidRPr="003B6EDB">
        <w:rPr>
          <w:rFonts w:ascii="Times New Roman" w:hAnsi="Times New Roman" w:cs="Times New Roman"/>
          <w:i w:val="0"/>
          <w:iCs w:val="0"/>
          <w:color w:val="303837"/>
          <w:sz w:val="24"/>
          <w:szCs w:val="24"/>
          <w:bdr w:val="none" w:sz="0" w:space="0" w:color="auto" w:frame="1"/>
        </w:rPr>
        <w:t>Ana Eylem 2 - Yenilik ve İyi Uygulama Değişimi için İşbirliği (KA2) altında yer alan </w:t>
      </w:r>
    </w:p>
    <w:p w:rsidR="003B6EDB" w:rsidRPr="003B6EDB" w:rsidRDefault="00012F1D" w:rsidP="003B6EDB">
      <w:pPr>
        <w:numPr>
          <w:ilvl w:val="0"/>
          <w:numId w:val="6"/>
        </w:numPr>
        <w:shd w:val="clear" w:color="auto" w:fill="FFFFFF"/>
        <w:spacing w:after="0" w:line="315" w:lineRule="atLeast"/>
        <w:ind w:left="450"/>
        <w:textAlignment w:val="baseline"/>
        <w:rPr>
          <w:rFonts w:ascii="Times New Roman" w:hAnsi="Times New Roman" w:cs="Times New Roman"/>
          <w:color w:val="303837"/>
          <w:sz w:val="24"/>
          <w:szCs w:val="24"/>
        </w:rPr>
      </w:pPr>
      <w:hyperlink r:id="rId8" w:history="1">
        <w:r w:rsidR="003B6EDB" w:rsidRPr="003B6EDB">
          <w:rPr>
            <w:rStyle w:val="Kpr"/>
            <w:rFonts w:ascii="Times New Roman" w:hAnsi="Times New Roman" w:cs="Times New Roman"/>
            <w:b/>
            <w:bCs/>
            <w:color w:val="474747"/>
            <w:sz w:val="24"/>
            <w:szCs w:val="24"/>
            <w:bdr w:val="none" w:sz="0" w:space="0" w:color="auto" w:frame="1"/>
          </w:rPr>
          <w:t>Stratejik Ortaklıklar</w:t>
        </w:r>
      </w:hyperlink>
      <w:r w:rsidR="003B6EDB" w:rsidRPr="003B6EDB">
        <w:rPr>
          <w:rStyle w:val="apple-converted-space"/>
          <w:rFonts w:ascii="Times New Roman" w:hAnsi="Times New Roman" w:cs="Times New Roman"/>
          <w:color w:val="303837"/>
          <w:sz w:val="24"/>
          <w:szCs w:val="24"/>
          <w:bdr w:val="none" w:sz="0" w:space="0" w:color="auto" w:frame="1"/>
        </w:rPr>
        <w:t> </w:t>
      </w:r>
      <w:r w:rsidR="003B6EDB" w:rsidRPr="003B6EDB">
        <w:rPr>
          <w:rFonts w:ascii="Times New Roman" w:hAnsi="Times New Roman" w:cs="Times New Roman"/>
          <w:color w:val="303837"/>
          <w:sz w:val="24"/>
          <w:szCs w:val="24"/>
          <w:bdr w:val="none" w:sz="0" w:space="0" w:color="auto" w:frame="1"/>
        </w:rPr>
        <w:t>(Başvurular Başkanlığımıza yapılmaktadır)</w:t>
      </w:r>
    </w:p>
    <w:p w:rsidR="003B6EDB" w:rsidRPr="003B6EDB" w:rsidRDefault="00012F1D" w:rsidP="003B6EDB">
      <w:pPr>
        <w:numPr>
          <w:ilvl w:val="0"/>
          <w:numId w:val="7"/>
        </w:numPr>
        <w:shd w:val="clear" w:color="auto" w:fill="FFFFFF"/>
        <w:spacing w:after="0" w:line="315" w:lineRule="atLeast"/>
        <w:ind w:left="450"/>
        <w:textAlignment w:val="baseline"/>
        <w:rPr>
          <w:rFonts w:ascii="Times New Roman" w:hAnsi="Times New Roman" w:cs="Times New Roman"/>
          <w:color w:val="303837"/>
          <w:sz w:val="24"/>
          <w:szCs w:val="24"/>
        </w:rPr>
      </w:pPr>
      <w:hyperlink r:id="rId9" w:history="1">
        <w:r w:rsidR="003B6EDB" w:rsidRPr="003B6EDB">
          <w:rPr>
            <w:rStyle w:val="Kpr"/>
            <w:rFonts w:ascii="Times New Roman" w:hAnsi="Times New Roman" w:cs="Times New Roman"/>
            <w:b/>
            <w:bCs/>
            <w:color w:val="474747"/>
            <w:sz w:val="24"/>
            <w:szCs w:val="24"/>
            <w:bdr w:val="none" w:sz="0" w:space="0" w:color="auto" w:frame="1"/>
          </w:rPr>
          <w:t>Bilgi Ortaklıkları</w:t>
        </w:r>
      </w:hyperlink>
      <w:r w:rsidR="003B6EDB" w:rsidRPr="003B6EDB">
        <w:rPr>
          <w:rStyle w:val="apple-converted-space"/>
          <w:rFonts w:ascii="Times New Roman" w:hAnsi="Times New Roman" w:cs="Times New Roman"/>
          <w:color w:val="303837"/>
          <w:sz w:val="24"/>
          <w:szCs w:val="24"/>
          <w:bdr w:val="none" w:sz="0" w:space="0" w:color="auto" w:frame="1"/>
        </w:rPr>
        <w:t> </w:t>
      </w:r>
      <w:r w:rsidR="003B6EDB" w:rsidRPr="003B6EDB">
        <w:rPr>
          <w:rFonts w:ascii="Times New Roman" w:hAnsi="Times New Roman" w:cs="Times New Roman"/>
          <w:color w:val="303837"/>
          <w:sz w:val="24"/>
          <w:szCs w:val="24"/>
          <w:bdr w:val="none" w:sz="0" w:space="0" w:color="auto" w:frame="1"/>
        </w:rPr>
        <w:t>(Başvurular Komisyon Yürütme Ajansına yapılmaktadır)</w:t>
      </w:r>
    </w:p>
    <w:p w:rsidR="003B6EDB" w:rsidRPr="003B6EDB" w:rsidRDefault="003B6EDB" w:rsidP="003B6EDB">
      <w:pPr>
        <w:pStyle w:val="Balk4"/>
        <w:keepNext w:val="0"/>
        <w:keepLines w:val="0"/>
        <w:numPr>
          <w:ilvl w:val="0"/>
          <w:numId w:val="8"/>
        </w:numPr>
        <w:shd w:val="clear" w:color="auto" w:fill="FFFFFF"/>
        <w:spacing w:before="0" w:line="240" w:lineRule="auto"/>
        <w:ind w:left="450"/>
        <w:textAlignment w:val="baseline"/>
        <w:rPr>
          <w:rFonts w:ascii="Times New Roman" w:hAnsi="Times New Roman" w:cs="Times New Roman"/>
          <w:color w:val="303837"/>
          <w:sz w:val="24"/>
          <w:szCs w:val="24"/>
        </w:rPr>
      </w:pPr>
      <w:r w:rsidRPr="003B6EDB">
        <w:rPr>
          <w:rFonts w:ascii="Times New Roman" w:hAnsi="Times New Roman" w:cs="Times New Roman"/>
          <w:i w:val="0"/>
          <w:iCs w:val="0"/>
          <w:color w:val="303837"/>
          <w:sz w:val="24"/>
          <w:szCs w:val="24"/>
          <w:bdr w:val="none" w:sz="0" w:space="0" w:color="auto" w:frame="1"/>
        </w:rPr>
        <w:t>Özel Eylem</w:t>
      </w:r>
    </w:p>
    <w:p w:rsidR="003B6EDB" w:rsidRPr="003B6EDB" w:rsidRDefault="00012F1D" w:rsidP="003B6EDB">
      <w:pPr>
        <w:numPr>
          <w:ilvl w:val="0"/>
          <w:numId w:val="9"/>
        </w:numPr>
        <w:shd w:val="clear" w:color="auto" w:fill="FFFFFF"/>
        <w:spacing w:after="0" w:line="315" w:lineRule="atLeast"/>
        <w:ind w:left="450"/>
        <w:textAlignment w:val="baseline"/>
        <w:rPr>
          <w:rFonts w:ascii="Times New Roman" w:hAnsi="Times New Roman" w:cs="Times New Roman"/>
          <w:color w:val="303837"/>
          <w:sz w:val="24"/>
          <w:szCs w:val="24"/>
        </w:rPr>
      </w:pPr>
      <w:hyperlink r:id="rId10" w:history="1">
        <w:r w:rsidR="003B6EDB" w:rsidRPr="003B6EDB">
          <w:rPr>
            <w:rStyle w:val="Kpr"/>
            <w:rFonts w:ascii="Times New Roman" w:hAnsi="Times New Roman" w:cs="Times New Roman"/>
            <w:b/>
            <w:bCs/>
            <w:color w:val="474747"/>
            <w:sz w:val="24"/>
            <w:szCs w:val="24"/>
            <w:bdr w:val="none" w:sz="0" w:space="0" w:color="auto" w:frame="1"/>
          </w:rPr>
          <w:t xml:space="preserve">Jean </w:t>
        </w:r>
        <w:proofErr w:type="spellStart"/>
        <w:r w:rsidR="003B6EDB" w:rsidRPr="003B6EDB">
          <w:rPr>
            <w:rStyle w:val="Kpr"/>
            <w:rFonts w:ascii="Times New Roman" w:hAnsi="Times New Roman" w:cs="Times New Roman"/>
            <w:b/>
            <w:bCs/>
            <w:color w:val="474747"/>
            <w:sz w:val="24"/>
            <w:szCs w:val="24"/>
            <w:bdr w:val="none" w:sz="0" w:space="0" w:color="auto" w:frame="1"/>
          </w:rPr>
          <w:t>Monnet</w:t>
        </w:r>
        <w:proofErr w:type="spellEnd"/>
      </w:hyperlink>
      <w:r w:rsidR="003B6EDB" w:rsidRPr="003B6EDB">
        <w:rPr>
          <w:rStyle w:val="apple-converted-space"/>
          <w:rFonts w:ascii="Times New Roman" w:hAnsi="Times New Roman" w:cs="Times New Roman"/>
          <w:color w:val="303837"/>
          <w:sz w:val="24"/>
          <w:szCs w:val="24"/>
          <w:bdr w:val="none" w:sz="0" w:space="0" w:color="auto" w:frame="1"/>
        </w:rPr>
        <w:t> </w:t>
      </w:r>
      <w:r w:rsidR="003B6EDB" w:rsidRPr="003B6EDB">
        <w:rPr>
          <w:rFonts w:ascii="Times New Roman" w:hAnsi="Times New Roman" w:cs="Times New Roman"/>
          <w:color w:val="303837"/>
          <w:sz w:val="24"/>
          <w:szCs w:val="24"/>
          <w:bdr w:val="none" w:sz="0" w:space="0" w:color="auto" w:frame="1"/>
        </w:rPr>
        <w:t>(Başvurular Komisyon Yürütme Ajansına yapılmaktadır)</w:t>
      </w:r>
    </w:p>
    <w:p w:rsidR="003B6EDB" w:rsidRPr="003B6EDB" w:rsidRDefault="003B6EDB" w:rsidP="003B6EDB">
      <w:pPr>
        <w:shd w:val="clear" w:color="auto" w:fill="FFFFFF"/>
        <w:spacing w:after="0" w:line="315" w:lineRule="atLeast"/>
        <w:textAlignment w:val="baseline"/>
        <w:rPr>
          <w:rFonts w:ascii="Times New Roman" w:hAnsi="Times New Roman" w:cs="Times New Roman"/>
          <w:color w:val="303837"/>
          <w:sz w:val="24"/>
          <w:szCs w:val="24"/>
          <w:bdr w:val="none" w:sz="0" w:space="0" w:color="auto" w:frame="1"/>
        </w:rPr>
      </w:pPr>
    </w:p>
    <w:p w:rsidR="003B6EDB" w:rsidRPr="006E6FB6" w:rsidRDefault="003B6EDB" w:rsidP="006E6FB6">
      <w:pPr>
        <w:shd w:val="clear" w:color="auto" w:fill="FFFFFF"/>
        <w:spacing w:after="0" w:line="315" w:lineRule="atLeast"/>
        <w:textAlignment w:val="baseline"/>
        <w:rPr>
          <w:rFonts w:ascii="Times New Roman" w:hAnsi="Times New Roman" w:cs="Times New Roman"/>
          <w:color w:val="303837"/>
          <w:sz w:val="24"/>
          <w:szCs w:val="24"/>
        </w:rPr>
      </w:pPr>
      <w:r w:rsidRPr="003B6EDB">
        <w:rPr>
          <w:rFonts w:ascii="Times New Roman" w:hAnsi="Times New Roman" w:cs="Times New Roman"/>
          <w:color w:val="303837"/>
          <w:sz w:val="24"/>
          <w:szCs w:val="24"/>
          <w:bdr w:val="none" w:sz="0" w:space="0" w:color="auto" w:frame="1"/>
        </w:rPr>
        <w:t xml:space="preserve">Daha fazla bilgi için </w:t>
      </w:r>
      <w:hyperlink r:id="rId11" w:history="1">
        <w:r w:rsidRPr="003B6EDB">
          <w:rPr>
            <w:rStyle w:val="Kpr"/>
            <w:rFonts w:ascii="Times New Roman" w:hAnsi="Times New Roman" w:cs="Times New Roman"/>
            <w:sz w:val="24"/>
            <w:szCs w:val="24"/>
            <w:bdr w:val="none" w:sz="0" w:space="0" w:color="auto" w:frame="1"/>
          </w:rPr>
          <w:t>http://www.ua.gov.tr/programlar/erasmus-program%C4%B1/erasmus-program%C4%B1</w:t>
        </w:r>
      </w:hyperlink>
      <w:r w:rsidRPr="003B6EDB">
        <w:rPr>
          <w:rFonts w:ascii="Times New Roman" w:hAnsi="Times New Roman" w:cs="Times New Roman"/>
          <w:color w:val="303837"/>
          <w:sz w:val="24"/>
          <w:szCs w:val="24"/>
          <w:bdr w:val="none" w:sz="0" w:space="0" w:color="auto" w:frame="1"/>
        </w:rPr>
        <w:t xml:space="preserve"> </w:t>
      </w:r>
    </w:p>
    <w:sectPr w:rsidR="003B6EDB" w:rsidRPr="006E6FB6" w:rsidSect="00012F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12E"/>
    <w:multiLevelType w:val="multilevel"/>
    <w:tmpl w:val="AC9C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80218"/>
    <w:multiLevelType w:val="multilevel"/>
    <w:tmpl w:val="0E9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47439"/>
    <w:multiLevelType w:val="multilevel"/>
    <w:tmpl w:val="E5E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95746"/>
    <w:multiLevelType w:val="multilevel"/>
    <w:tmpl w:val="D106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A21C1"/>
    <w:multiLevelType w:val="multilevel"/>
    <w:tmpl w:val="60A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E40E2"/>
    <w:multiLevelType w:val="multilevel"/>
    <w:tmpl w:val="D55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01FCB"/>
    <w:multiLevelType w:val="multilevel"/>
    <w:tmpl w:val="E46E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3D23A4"/>
    <w:multiLevelType w:val="multilevel"/>
    <w:tmpl w:val="ED5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16084"/>
    <w:multiLevelType w:val="multilevel"/>
    <w:tmpl w:val="CC2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7"/>
  </w:num>
  <w:num w:numId="6">
    <w:abstractNumId w:val="8"/>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1D6D"/>
    <w:rsid w:val="00012F1D"/>
    <w:rsid w:val="000B7919"/>
    <w:rsid w:val="003B6EDB"/>
    <w:rsid w:val="004B3875"/>
    <w:rsid w:val="006E4577"/>
    <w:rsid w:val="006E6FB6"/>
    <w:rsid w:val="007C1D6D"/>
    <w:rsid w:val="00FC31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1D"/>
  </w:style>
  <w:style w:type="paragraph" w:styleId="Balk2">
    <w:name w:val="heading 2"/>
    <w:basedOn w:val="Normal"/>
    <w:link w:val="Balk2Char"/>
    <w:uiPriority w:val="9"/>
    <w:qFormat/>
    <w:rsid w:val="003B6E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B6ED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3B6E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B6ED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B6ED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3B6ED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6E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B6EDB"/>
    <w:rPr>
      <w:color w:val="0000FF"/>
      <w:u w:val="single"/>
    </w:rPr>
  </w:style>
  <w:style w:type="character" w:customStyle="1" w:styleId="apple-converted-space">
    <w:name w:val="apple-converted-space"/>
    <w:basedOn w:val="VarsaylanParagrafYazTipi"/>
    <w:rsid w:val="003B6EDB"/>
  </w:style>
  <w:style w:type="character" w:customStyle="1" w:styleId="il">
    <w:name w:val="il"/>
    <w:basedOn w:val="VarsaylanParagrafYazTipi"/>
    <w:rsid w:val="004B3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B6E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B6ED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3B6E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B6ED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B6ED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3B6ED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6E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B6EDB"/>
    <w:rPr>
      <w:color w:val="0000FF"/>
      <w:u w:val="single"/>
    </w:rPr>
  </w:style>
  <w:style w:type="character" w:customStyle="1" w:styleId="apple-converted-space">
    <w:name w:val="apple-converted-space"/>
    <w:basedOn w:val="VarsaylanParagrafYazTipi"/>
    <w:rsid w:val="003B6EDB"/>
  </w:style>
  <w:style w:type="character" w:customStyle="1" w:styleId="il">
    <w:name w:val="il"/>
    <w:basedOn w:val="VarsaylanParagrafYazTipi"/>
    <w:rsid w:val="004B3875"/>
  </w:style>
</w:styles>
</file>

<file path=word/webSettings.xml><?xml version="1.0" encoding="utf-8"?>
<w:webSettings xmlns:r="http://schemas.openxmlformats.org/officeDocument/2006/relationships" xmlns:w="http://schemas.openxmlformats.org/wordprocessingml/2006/main">
  <w:divs>
    <w:div w:id="274100378">
      <w:bodyDiv w:val="1"/>
      <w:marLeft w:val="0"/>
      <w:marRight w:val="0"/>
      <w:marTop w:val="0"/>
      <w:marBottom w:val="0"/>
      <w:divBdr>
        <w:top w:val="none" w:sz="0" w:space="0" w:color="auto"/>
        <w:left w:val="none" w:sz="0" w:space="0" w:color="auto"/>
        <w:bottom w:val="none" w:sz="0" w:space="0" w:color="auto"/>
        <w:right w:val="none" w:sz="0" w:space="0" w:color="auto"/>
      </w:divBdr>
      <w:divsChild>
        <w:div w:id="765424359">
          <w:blockQuote w:val="1"/>
          <w:marLeft w:val="0"/>
          <w:marRight w:val="0"/>
          <w:marTop w:val="0"/>
          <w:marBottom w:val="0"/>
          <w:divBdr>
            <w:top w:val="none" w:sz="0" w:space="0" w:color="auto"/>
            <w:left w:val="none" w:sz="0" w:space="0" w:color="auto"/>
            <w:bottom w:val="none" w:sz="0" w:space="0" w:color="auto"/>
            <w:right w:val="none" w:sz="0" w:space="0" w:color="auto"/>
          </w:divBdr>
        </w:div>
        <w:div w:id="1439136798">
          <w:blockQuote w:val="1"/>
          <w:marLeft w:val="0"/>
          <w:marRight w:val="0"/>
          <w:marTop w:val="0"/>
          <w:marBottom w:val="0"/>
          <w:divBdr>
            <w:top w:val="none" w:sz="0" w:space="0" w:color="auto"/>
            <w:left w:val="none" w:sz="0" w:space="0" w:color="auto"/>
            <w:bottom w:val="none" w:sz="0" w:space="0" w:color="auto"/>
            <w:right w:val="none" w:sz="0" w:space="0" w:color="auto"/>
          </w:divBdr>
        </w:div>
        <w:div w:id="1044020389">
          <w:blockQuote w:val="1"/>
          <w:marLeft w:val="0"/>
          <w:marRight w:val="0"/>
          <w:marTop w:val="0"/>
          <w:marBottom w:val="0"/>
          <w:divBdr>
            <w:top w:val="none" w:sz="0" w:space="0" w:color="auto"/>
            <w:left w:val="none" w:sz="0" w:space="0" w:color="auto"/>
            <w:bottom w:val="none" w:sz="0" w:space="0" w:color="auto"/>
            <w:right w:val="none" w:sz="0" w:space="0" w:color="auto"/>
          </w:divBdr>
        </w:div>
        <w:div w:id="955990127">
          <w:blockQuote w:val="1"/>
          <w:marLeft w:val="0"/>
          <w:marRight w:val="0"/>
          <w:marTop w:val="0"/>
          <w:marBottom w:val="0"/>
          <w:divBdr>
            <w:top w:val="none" w:sz="0" w:space="0" w:color="auto"/>
            <w:left w:val="none" w:sz="0" w:space="0" w:color="auto"/>
            <w:bottom w:val="none" w:sz="0" w:space="0" w:color="auto"/>
            <w:right w:val="none" w:sz="0" w:space="0" w:color="auto"/>
          </w:divBdr>
        </w:div>
        <w:div w:id="687146246">
          <w:blockQuote w:val="1"/>
          <w:marLeft w:val="0"/>
          <w:marRight w:val="0"/>
          <w:marTop w:val="0"/>
          <w:marBottom w:val="0"/>
          <w:divBdr>
            <w:top w:val="none" w:sz="0" w:space="0" w:color="auto"/>
            <w:left w:val="none" w:sz="0" w:space="0" w:color="auto"/>
            <w:bottom w:val="none" w:sz="0" w:space="0" w:color="auto"/>
            <w:right w:val="none" w:sz="0" w:space="0" w:color="auto"/>
          </w:divBdr>
        </w:div>
        <w:div w:id="14905120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5506222">
      <w:bodyDiv w:val="1"/>
      <w:marLeft w:val="0"/>
      <w:marRight w:val="0"/>
      <w:marTop w:val="0"/>
      <w:marBottom w:val="0"/>
      <w:divBdr>
        <w:top w:val="none" w:sz="0" w:space="0" w:color="auto"/>
        <w:left w:val="none" w:sz="0" w:space="0" w:color="auto"/>
        <w:bottom w:val="none" w:sz="0" w:space="0" w:color="auto"/>
        <w:right w:val="none" w:sz="0" w:space="0" w:color="auto"/>
      </w:divBdr>
    </w:div>
    <w:div w:id="961765232">
      <w:bodyDiv w:val="1"/>
      <w:marLeft w:val="0"/>
      <w:marRight w:val="0"/>
      <w:marTop w:val="0"/>
      <w:marBottom w:val="0"/>
      <w:divBdr>
        <w:top w:val="none" w:sz="0" w:space="0" w:color="auto"/>
        <w:left w:val="none" w:sz="0" w:space="0" w:color="auto"/>
        <w:bottom w:val="none" w:sz="0" w:space="0" w:color="auto"/>
        <w:right w:val="none" w:sz="0" w:space="0" w:color="auto"/>
      </w:divBdr>
    </w:div>
    <w:div w:id="11184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gov.tr/programlar/erasmus-program%C4%B1/erasmus-program%C4%B1/stratejik-ortakliklar-(ka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a.gov.tr/programlar/erasmus-program%C4%B1/erasmus-program%C4%B1/erasmus-program%C4%B1-ek-sayfalar/y%C3%BCksek-lisans-%C3%B6%C4%9Frencileri-kredi-garanti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gov.tr/programlar/erasmus-program%C4%B1/erasmus-program%C4%B1/erasmus-program%C4%B1-ek-sayfalar/ortak-y%C3%BCksek-lisans-dereceleri" TargetMode="External"/><Relationship Id="rId11" Type="http://schemas.openxmlformats.org/officeDocument/2006/relationships/hyperlink" Target="http://www.ua.gov.tr/programlar/erasmus-program%C4%B1/erasmus-program%C4%B1" TargetMode="External"/><Relationship Id="rId5" Type="http://schemas.openxmlformats.org/officeDocument/2006/relationships/hyperlink" Target="http://www.ua.gov.tr/programlar/erasmus-program%C4%B1/erasmus-program%C4%B1/%C3%B6%C4%9Frenme-hareketlili%C4%9Fi" TargetMode="External"/><Relationship Id="rId10" Type="http://schemas.openxmlformats.org/officeDocument/2006/relationships/hyperlink" Target="http://www.ua.gov.tr/programlar/erasmus-program%C4%B1/merkezi-faaliyetler/jean-monnet" TargetMode="External"/><Relationship Id="rId4" Type="http://schemas.openxmlformats.org/officeDocument/2006/relationships/webSettings" Target="webSettings.xml"/><Relationship Id="rId9" Type="http://schemas.openxmlformats.org/officeDocument/2006/relationships/hyperlink" Target="http://www.ua.gov.tr/programlar/erasmus-program%C4%B1/merkezi-faaliyetler/bilgi-ortakl%C4%B1klar%C4%B1" TargetMode="Externa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SAÜ</cp:lastModifiedBy>
  <cp:revision>7</cp:revision>
  <dcterms:created xsi:type="dcterms:W3CDTF">2014-07-07T11:42:00Z</dcterms:created>
  <dcterms:modified xsi:type="dcterms:W3CDTF">2014-07-09T11:52:00Z</dcterms:modified>
</cp:coreProperties>
</file>